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JKR.PATA-1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PELAN STRATEGI PENGURUSAN ASET (OPERASI)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KERAJAAN MALAYSIA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1390650" cy="10858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5.0" w:type="dxa"/>
        <w:jc w:val="left"/>
        <w:tblInd w:w="113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8"/>
        <w:gridCol w:w="290"/>
        <w:gridCol w:w="1572"/>
        <w:gridCol w:w="1096"/>
        <w:gridCol w:w="290"/>
        <w:gridCol w:w="1669"/>
        <w:tblGridChange w:id="0">
          <w:tblGrid>
            <w:gridCol w:w="1878"/>
            <w:gridCol w:w="290"/>
            <w:gridCol w:w="1572"/>
            <w:gridCol w:w="1096"/>
            <w:gridCol w:w="290"/>
            <w:gridCol w:w="16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720" w:firstLine="0"/>
              <w:jc w:val="right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HINGGA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60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49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3"/>
        <w:gridCol w:w="291"/>
        <w:gridCol w:w="5755"/>
        <w:tblGridChange w:id="0">
          <w:tblGrid>
            <w:gridCol w:w="2403"/>
            <w:gridCol w:w="291"/>
            <w:gridCol w:w="5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KEMENTERIAN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JABATAN/ AGENSI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6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spacing w:line="60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96.999999999999" w:type="dxa"/>
        <w:jc w:val="left"/>
        <w:tblInd w:w="56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3"/>
        <w:gridCol w:w="6804"/>
        <w:tblGridChange w:id="0">
          <w:tblGrid>
            <w:gridCol w:w="993"/>
            <w:gridCol w:w="680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9900"/>
              </w:tabs>
              <w:spacing w:line="480" w:lineRule="auto"/>
              <w:ind w:right="173"/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900"/>
              </w:tabs>
              <w:spacing w:line="480" w:lineRule="auto"/>
              <w:ind w:right="173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KANDUNGAN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Pendahuluan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Visi Pengurusan Aset Tak Alih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Misi Pengurusan Aset Tak Alih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Objektif Pengurusan Aset Tak Alih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Jumlah Aset Mengikut Kategori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Penetapan Polisi Pengurusan Aset (Operasi) Serta Output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Strategi Pelaksanaan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Takwim Tadbir Urus TPATA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Penutup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10.0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4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Lampiran</w:t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000000"/>
          <w:u w:val="single"/>
        </w:rPr>
        <w:sectPr>
          <w:pgSz w:h="16838" w:w="11906" w:orient="portrait"/>
          <w:pgMar w:bottom="1440" w:top="1440" w:left="1440" w:right="1440" w:header="567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9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97"/>
        <w:tblGridChange w:id="0">
          <w:tblGrid>
            <w:gridCol w:w="8997"/>
          </w:tblGrid>
        </w:tblGridChange>
      </w:tblGrid>
      <w:tr>
        <w:trPr>
          <w:cantSplit w:val="0"/>
          <w:trHeight w:val="139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98" w:right="-46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6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ind w:left="603" w:right="-4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Menerangkan secara umum fungsi dan organisasi agensi serta struktur PATA dalam organisasi.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603" w:right="-46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6" w:hanging="567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 PENGURUSAN ASET TAK ALIH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ind w:left="603" w:right="-4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Menetapkan hala tuju, fokus dan sasaran kecemerlangan PATA agensi pada masa akan datang.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left="603" w:right="-46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6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MISI PENGURUSAN ASET TAK ALIH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603" w:right="-4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Menetapkan tindakan - tindakan strategik untuk mencapai visi  agensi.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603" w:right="-46" w:hanging="567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6" w:hanging="567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OBJEKTIF PENGURUSAN ASET TAK ALIH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603" w:right="-4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Menjelaskan matlamat aset mengikut keperluan dan kehendak agensi.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603" w:right="-46" w:hanging="56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83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87"/>
              <w:gridCol w:w="3547"/>
              <w:tblGridChange w:id="0">
                <w:tblGrid>
                  <w:gridCol w:w="3287"/>
                  <w:gridCol w:w="3547"/>
                </w:tblGrid>
              </w:tblGridChange>
            </w:tblGrid>
            <w:tr>
              <w:trPr>
                <w:cantSplit w:val="0"/>
                <w:trHeight w:val="75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ind w:left="603" w:right="291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UKURAN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ind w:left="603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SASARAN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ind w:left="603" w:right="843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ind w:left="603" w:right="843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ind w:left="603" w:hanging="56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603" w:right="0" w:hanging="56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ASET MENGIKUT KATEGORI</w:t>
            </w:r>
          </w:p>
          <w:tbl>
            <w:tblPr>
              <w:tblStyle w:val="Table6"/>
              <w:tblW w:w="6773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31"/>
              <w:gridCol w:w="2698"/>
              <w:gridCol w:w="1744"/>
              <w:tblGridChange w:id="0">
                <w:tblGrid>
                  <w:gridCol w:w="2331"/>
                  <w:gridCol w:w="2698"/>
                  <w:gridCol w:w="1744"/>
                </w:tblGrid>
              </w:tblGridChange>
            </w:tblGrid>
            <w:tr>
              <w:trPr>
                <w:cantSplit w:val="0"/>
                <w:trHeight w:val="201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spacing w:after="0" w:line="240" w:lineRule="auto"/>
                    <w:ind w:left="603" w:right="-17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NAMA</w:t>
                  </w:r>
                </w:p>
                <w:p w:rsidR="00000000" w:rsidDel="00000000" w:rsidP="00000000" w:rsidRDefault="00000000" w:rsidRPr="00000000" w14:paraId="00000051">
                  <w:pPr>
                    <w:spacing w:after="0" w:line="240" w:lineRule="auto"/>
                    <w:ind w:left="603" w:right="-17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AGENSI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spacing w:after="0" w:line="240" w:lineRule="auto"/>
                    <w:ind w:left="603" w:right="-62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KATEGORI ASET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after="0" w:line="240" w:lineRule="auto"/>
                    <w:ind w:left="603" w:right="-67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JUMLAH ASET</w:t>
                  </w:r>
                </w:p>
              </w:tc>
            </w:tr>
            <w:tr>
              <w:trPr>
                <w:cantSplit w:val="0"/>
                <w:trHeight w:val="401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ind w:left="603" w:right="843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Tanah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6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ind w:left="603" w:right="843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Bangunan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Jalan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Pembentungan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Air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spacing w:after="0" w:line="240" w:lineRule="auto"/>
                    <w:ind w:left="603" w:right="-136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Lain-lain </w:t>
                  </w:r>
                </w:p>
                <w:p w:rsidR="00000000" w:rsidDel="00000000" w:rsidP="00000000" w:rsidRDefault="00000000" w:rsidRPr="00000000" w14:paraId="00000065">
                  <w:pPr>
                    <w:spacing w:after="0" w:line="240" w:lineRule="auto"/>
                    <w:ind w:left="603" w:right="-136" w:hanging="567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(nyatakan:......................)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6">
                  <w:pPr>
                    <w:spacing w:after="0" w:line="24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1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-41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PENETAPAN POLISI OPERASI &amp; PENYENGGARAAN SERTA OUTPUT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Penetapan polisi dan output setiap aktiviti PATA seperti ASL dan sasaran bergantung kepada:</w:t>
              <w:tab/>
              <w:tab/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after="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Fungsi aset;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Keperluan perundangan seperti Akta Keselamatan dan Kesihatan Pekerjaan 1994, Akta Kualiti Alam Sekeliling 1974, Undang-undang Kecil Bangunan Seragam 1984, Akta Jalan, Parit dan Bangunan 1974 dan lain-lain yang berkaitan;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after="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Usia, keadaan dan jangka hayat aset tersebut;</w:t>
              <w:tab/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after="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Kemampuan mencapai matlamat dengan adanya sumber yang dirancang; dan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spacing w:after="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Persetujuan daripada pengguna aset.</w:t>
            </w:r>
          </w:p>
          <w:p w:rsidR="00000000" w:rsidDel="00000000" w:rsidP="00000000" w:rsidRDefault="00000000" w:rsidRPr="00000000" w14:paraId="0000006F">
            <w:pPr>
              <w:spacing w:after="160" w:lineRule="auto"/>
              <w:ind w:left="1028" w:right="843" w:hanging="425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60" w:lineRule="auto"/>
              <w:ind w:left="603" w:right="843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Kategori Aset: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Tanah/ Bangunan/ Jalan/ Pembentungan/ Air/ Lain-lain: (nyatakan) ..........................</w:t>
            </w:r>
          </w:p>
          <w:tbl>
            <w:tblPr>
              <w:tblStyle w:val="Table7"/>
              <w:tblW w:w="692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98"/>
              <w:gridCol w:w="2207"/>
              <w:gridCol w:w="2019"/>
              <w:tblGridChange w:id="0">
                <w:tblGrid>
                  <w:gridCol w:w="2698"/>
                  <w:gridCol w:w="2207"/>
                  <w:gridCol w:w="2019"/>
                </w:tblGrid>
              </w:tblGridChange>
            </w:tblGrid>
            <w:tr>
              <w:trPr>
                <w:cantSplit w:val="0"/>
                <w:trHeight w:val="132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after="160" w:line="276" w:lineRule="auto"/>
                    <w:ind w:left="603" w:right="-56" w:hanging="567"/>
                    <w:jc w:val="center"/>
                    <w:rPr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AKTIVITI PENGURUSAN  ASET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after="160" w:line="276" w:lineRule="auto"/>
                    <w:ind w:left="603" w:right="843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spacing w:after="160" w:line="276" w:lineRule="auto"/>
                    <w:ind w:left="603" w:right="-124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OBJEKTIF</w:t>
                  </w:r>
                </w:p>
                <w:p w:rsidR="00000000" w:rsidDel="00000000" w:rsidP="00000000" w:rsidRDefault="00000000" w:rsidRPr="00000000" w14:paraId="00000074">
                  <w:pPr>
                    <w:spacing w:after="160" w:line="276" w:lineRule="auto"/>
                    <w:ind w:left="603" w:right="843" w:hanging="567"/>
                    <w:jc w:val="center"/>
                    <w:rPr>
                      <w:b w:val="1"/>
                      <w:strike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after="160" w:line="276" w:lineRule="auto"/>
                    <w:ind w:left="603" w:right="-88" w:hanging="567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OUTPUT</w:t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after="160" w:lineRule="auto"/>
                    <w:ind w:left="-15" w:right="393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Penerimaan dan Pendaftaran Aset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160" w:lineRule="auto"/>
                    <w:ind w:right="843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Operasi dan Penyenggaraan Aset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after="16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Penilaian Aset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after="160" w:lineRule="auto"/>
                    <w:ind w:right="-33" w:firstLine="36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Pemulihan/ Pemuliharaan / Ubahsuai / Naik Taraf Aset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160" w:lineRule="auto"/>
                    <w:ind w:left="603" w:right="843" w:hanging="567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Pelupusan Aset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spacing w:after="0" w:line="600" w:lineRule="auto"/>
              <w:ind w:left="603" w:right="-46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 PELAKSANAAN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603" w:right="84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Pelaksanaan pengurusan aset adalah berasaskan strategi berikut: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tabs>
                <w:tab w:val="left" w:leader="none" w:pos="887"/>
              </w:tabs>
              <w:spacing w:after="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Struktur tadbir urus organisasi;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tabs>
                <w:tab w:val="left" w:leader="none" w:pos="1028"/>
                <w:tab w:val="left" w:leader="none" w:pos="7934"/>
              </w:tabs>
              <w:spacing w:after="0" w:lineRule="auto"/>
              <w:ind w:left="887" w:right="843" w:hanging="28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Sistem dan proses  (tatacara, piawaian, garis panduan) serta teknologi (aplikasi, bahan);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tabs>
                <w:tab w:val="left" w:leader="none" w:pos="887"/>
              </w:tabs>
              <w:spacing w:after="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Kaedah pelaksanaan (dalaman atau luaran);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tabs>
                <w:tab w:val="left" w:leader="none" w:pos="887"/>
              </w:tabs>
              <w:spacing w:after="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Pelan Perancangan dan Bajet Pengurusan Aset (Operasi);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tabs>
                <w:tab w:val="left" w:leader="none" w:pos="887"/>
              </w:tabs>
              <w:spacing w:after="0" w:lineRule="auto"/>
              <w:ind w:left="887" w:right="843" w:hanging="28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Penyediaan Keperluan Sumber (kewangan, staf, latihan, kompetensi, peralatan dan dokumentasi);dan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tabs>
                <w:tab w:val="left" w:leader="none" w:pos="887"/>
              </w:tabs>
              <w:spacing w:after="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Pemantauan Pelaksanaan Dan Pengukuran Output.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603" w:right="843" w:hanging="56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7.1      STRUKTUR TADBIR URUS ORGANISASI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firstLine="142.0000000000000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Menerangkan struktur organisasi Unit Pengurusan Fasiliti (UPF) agensi.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7.2      SISTEM, PROSEDUR, PIAWAIAN DAN TEKNOLOGI</w:t>
            </w:r>
          </w:p>
          <w:p w:rsidR="00000000" w:rsidDel="00000000" w:rsidP="00000000" w:rsidRDefault="00000000" w:rsidRPr="00000000" w14:paraId="00000095">
            <w:pPr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Setiap agensi perlu mematuhi proses kerja yang ditetapkan dalam TPATA bagi setiap aktiviti yang berkaitan. </w:t>
            </w:r>
          </w:p>
          <w:p w:rsidR="00000000" w:rsidDel="00000000" w:rsidP="00000000" w:rsidRDefault="00000000" w:rsidRPr="00000000" w14:paraId="00000096">
            <w:pPr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Sekiranya tiada keterangan/dokumen khusus bagi sesuatu proses, agensi perlu bangunkan prosedur dan piawaian yang diperlukan.</w:t>
            </w:r>
          </w:p>
          <w:p w:rsidR="00000000" w:rsidDel="00000000" w:rsidP="00000000" w:rsidRDefault="00000000" w:rsidRPr="00000000" w14:paraId="00000097">
            <w:pPr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menyediakan Pelan Pengurusan Risiko Fasiliti bagi fasa penggunaan dan pelupusan berdasarkan garis panduan yang berkuat kuasa</w:t>
            </w:r>
          </w:p>
          <w:p w:rsidR="00000000" w:rsidDel="00000000" w:rsidP="00000000" w:rsidRDefault="00000000" w:rsidRPr="00000000" w14:paraId="00000098">
            <w:pPr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menetapkan pemakaian teknologi dan bahan seperti penggunaan aplikasi komputer, Wireless Fidelity (WiFi),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Radio Frequency Identity Detector</w:t>
            </w:r>
            <w:r w:rsidDel="00000000" w:rsidR="00000000" w:rsidRPr="00000000">
              <w:rPr>
                <w:color w:val="000000"/>
                <w:rtl w:val="0"/>
              </w:rPr>
              <w:t xml:space="preserve"> (RFID),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Bar Code</w:t>
            </w:r>
            <w:r w:rsidDel="00000000" w:rsidR="00000000" w:rsidRPr="00000000">
              <w:rPr>
                <w:color w:val="000000"/>
                <w:rtl w:val="0"/>
              </w:rPr>
              <w:t xml:space="preserve"> dan seumpamanya. Penggunaan teknologi ini hendaklah selari dengan garis panduan Sistem Kod Aset Tak Alih (SKATA) dan sistem aplikasi utama pengurusan aset tak alih.</w:t>
            </w:r>
          </w:p>
          <w:p w:rsidR="00000000" w:rsidDel="00000000" w:rsidP="00000000" w:rsidRDefault="00000000" w:rsidRPr="00000000" w14:paraId="00000099">
            <w:pPr>
              <w:spacing w:after="160" w:lineRule="auto"/>
              <w:ind w:left="603" w:right="843" w:hanging="567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7.3      KAEDAH PELAKSANAAN (DALAMAN ATAU LUARAN)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60" w:lineRule="auto"/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menetapkan kaedah-kaedah pelaksanaan aktiviti PATA bagi setiap agensi di bawahnya. Di antara kaedah-kaedah pelaksanaan seperti pelaksanaan secara dalaman atau luaran.</w:t>
            </w:r>
          </w:p>
          <w:p w:rsidR="00000000" w:rsidDel="00000000" w:rsidP="00000000" w:rsidRDefault="00000000" w:rsidRPr="00000000" w14:paraId="0000009B">
            <w:pPr>
              <w:spacing w:after="160" w:lineRule="auto"/>
              <w:ind w:left="745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Penetapan polisi kaedah pelaksanaan sama ada secara dalaman atau luaran adalah tertakluk kepada: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spacing w:after="0" w:lineRule="auto"/>
              <w:ind w:left="603" w:right="843" w:firstLine="283.999999999999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Fungsi dan kompleksiti aset;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Rule="auto"/>
              <w:ind w:left="603" w:right="843" w:firstLine="283.999999999999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Keperluan perundangan dan dasar semasa kerajaan;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after="0" w:lineRule="auto"/>
              <w:ind w:left="603" w:right="843" w:firstLine="283.999999999999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Kemampuan sumber; dan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lineRule="auto"/>
              <w:ind w:left="603" w:right="843" w:firstLine="283.999999999999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Pemindahan teknologi.</w:t>
            </w:r>
          </w:p>
          <w:p w:rsidR="00000000" w:rsidDel="00000000" w:rsidP="00000000" w:rsidRDefault="00000000" w:rsidRPr="00000000" w14:paraId="000000A0">
            <w:pPr>
              <w:ind w:left="603" w:right="843" w:hanging="567"/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08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12"/>
              <w:gridCol w:w="4271"/>
              <w:tblGridChange w:id="0">
                <w:tblGrid>
                  <w:gridCol w:w="2812"/>
                  <w:gridCol w:w="4271"/>
                </w:tblGrid>
              </w:tblGridChange>
            </w:tblGrid>
            <w:tr>
              <w:trPr>
                <w:cantSplit w:val="0"/>
                <w:trHeight w:val="83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ind w:left="23" w:right="-119" w:hanging="14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NAMA </w:t>
                  </w:r>
                </w:p>
                <w:p w:rsidR="00000000" w:rsidDel="00000000" w:rsidP="00000000" w:rsidRDefault="00000000" w:rsidRPr="00000000" w14:paraId="000000A2">
                  <w:pPr>
                    <w:spacing w:after="0" w:lineRule="auto"/>
                    <w:ind w:left="23" w:right="-119" w:hanging="14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KEMENTERIAN/ JABATAN/ AGENSI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after="0" w:lineRule="auto"/>
                    <w:ind w:left="-84" w:right="-101" w:firstLine="84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PENYATAAN POLISI KAEDAH PELAKSANAAN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5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6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7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spacing w:after="160" w:lineRule="auto"/>
                    <w:ind w:left="603" w:right="843" w:hanging="56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A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720"/>
              </w:tabs>
              <w:spacing w:after="0" w:lineRule="auto"/>
              <w:ind w:left="603" w:right="-41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7.4      PENYEDIAAN PELAN PELAKSANAAN DAN BAJET TAHUNAN</w:t>
            </w:r>
          </w:p>
          <w:p w:rsidR="00000000" w:rsidDel="00000000" w:rsidP="00000000" w:rsidRDefault="00000000" w:rsidRPr="00000000" w14:paraId="000000B2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Pelan Perancangan dan Bajet Pengurusan Aset (Operasi) terdiri daripada Ringkasan Maklumat Pelan Pengurusan Aset (PPA) (Operasi) Perancangan (JKR.PATA-2B) dan Ringkasan Maklumat PPA (Operasi) Tahunan (JKR.PATA-2D)</w:t>
            </w:r>
          </w:p>
          <w:p w:rsidR="00000000" w:rsidDel="00000000" w:rsidP="00000000" w:rsidRDefault="00000000" w:rsidRPr="00000000" w14:paraId="000000B3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Ringkasan Maklumat Pelan Pengurusan Aset (PPA) (Operasi) Perancangan sebagaimana format JKR.PATA-2B terhasil daripada penjumlahan maklumat Pelan Pengurusan Aset (PPA) (Operasi) Perancangan bagi setiap aset atau premis sebagaimana format JKR.PATA-2A.</w:t>
            </w:r>
          </w:p>
          <w:p w:rsidR="00000000" w:rsidDel="00000000" w:rsidP="00000000" w:rsidRDefault="00000000" w:rsidRPr="00000000" w14:paraId="000000B4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Ringkasan Maklumat Pelan Pengurusan Aset (PPA) (Operasi) Tahunan (JKR.PATA-2D) terhasil daripada penjumlahan maklumat daripada Pelan Pengurusan Aset (PPA) (Operasi) Tahunan bagi setiap aset atau premis sebagaimana format JKR.PATA-2C.</w:t>
            </w:r>
          </w:p>
          <w:p w:rsidR="00000000" w:rsidDel="00000000" w:rsidP="00000000" w:rsidRDefault="00000000" w:rsidRPr="00000000" w14:paraId="000000B5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JKR.PATA-2C adalah maklumat tahunan yang diperolehi daripada PTRA, POPA, PNA, PPPUN dan PLA bagi setiap premis.</w:t>
            </w:r>
          </w:p>
          <w:p w:rsidR="00000000" w:rsidDel="00000000" w:rsidP="00000000" w:rsidRDefault="00000000" w:rsidRPr="00000000" w14:paraId="000000B6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Pelan Perancangan dan Bajet Pengurusan Aset (Operasi) hendaklah disediakan secara tahunan sehingga tempoh lima (5) tahun bagi setiap premis untuk fasa penerimaan, operasi dan penyenggaraan, penilaian keadaan/ prestasi, pemulihan/ pemuliharaan / ubah suai/ naik taraf dan pelupusan. </w:t>
            </w:r>
          </w:p>
          <w:p w:rsidR="00000000" w:rsidDel="00000000" w:rsidP="00000000" w:rsidRDefault="00000000" w:rsidRPr="00000000" w14:paraId="000000B7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Sila rujuk penyediaan Pelan Perancangan dan Bajet Tahunan PATA mengikut fasa masing-masing seperti di dalam Bab C, Bab D,Bab E, Bab F dan Bab G serta Prosedur B2 dalam TPATA.</w:t>
            </w:r>
          </w:p>
          <w:p w:rsidR="00000000" w:rsidDel="00000000" w:rsidP="00000000" w:rsidRDefault="00000000" w:rsidRPr="00000000" w14:paraId="000000B8">
            <w:pPr>
              <w:spacing w:after="160" w:lineRule="auto"/>
              <w:ind w:left="745" w:right="84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Nota :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ind w:left="74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Penyediaan maklumat bagi JKR.PATA-2A dan JKR.PATA-2B </w:t>
            </w:r>
            <w:r w:rsidDel="00000000" w:rsidR="00000000" w:rsidRPr="00000000">
              <w:rPr>
                <w:b w:val="1"/>
                <w:i w:val="1"/>
                <w:color w:val="000000"/>
                <w:u w:val="single"/>
                <w:rtl w:val="0"/>
              </w:rPr>
              <w:t xml:space="preserve">hanya diwajibkan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kepada aset/ premis yang akan diwujudkan atau sedang dalam pembangunan (baru).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ind w:left="74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ind w:left="74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Manakala penyediaan bagi maklumat JKR.PATA-2C dan JKR.PATA-2D </w:t>
            </w:r>
            <w:r w:rsidDel="00000000" w:rsidR="00000000" w:rsidRPr="00000000">
              <w:rPr>
                <w:b w:val="1"/>
                <w:i w:val="1"/>
                <w:color w:val="000000"/>
                <w:u w:val="single"/>
                <w:rtl w:val="0"/>
              </w:rPr>
              <w:t xml:space="preserve">diwajibkan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kepada semua premis sedia ada.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ind w:left="74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ind w:left="74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Maklumat/ data kos operasi &amp; penyenggaraan aset/ premis dalam format JKR.PATA-2A adalah berdasarkan pengiraan kos kitaran hayat sesuatu aset/ premis.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ind w:left="603" w:hanging="567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887" w:hanging="851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7.5      PENYEDIAAN KEPERLUAN SUMBER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603" w:hanging="567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menyediakan keperluan sumber yang mencukupi seperti kewangan, staf, latihan, kompetensi, peralatan dan dokumentasi.</w:t>
            </w:r>
          </w:p>
          <w:p w:rsidR="00000000" w:rsidDel="00000000" w:rsidP="00000000" w:rsidRDefault="00000000" w:rsidRPr="00000000" w14:paraId="000000C2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Penyediaan sumber hendaklah merangkumi keperluan aktiviti seluruh fasa penerimaan, operasi dan penyenggaraan, penilaian keadaan / prestasi, pemulihan / pemuliharaan / ubah suai / naik taraf dan pelupusan</w:t>
            </w:r>
          </w:p>
          <w:p w:rsidR="00000000" w:rsidDel="00000000" w:rsidP="00000000" w:rsidRDefault="00000000" w:rsidRPr="00000000" w14:paraId="000000C3">
            <w:pPr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Maklumat keperluan sumber adalah sebagaimana dalam format pelan pelaksanaan dan bajet tahunan mengikut fasa masing-masing seperti didalam Bab C, Bab D, Bab E, Bab F dan Bab G serta Prosedur B2 dalam TPATA.</w:t>
            </w:r>
          </w:p>
          <w:p w:rsidR="00000000" w:rsidDel="00000000" w:rsidP="00000000" w:rsidRDefault="00000000" w:rsidRPr="00000000" w14:paraId="000000C4">
            <w:pPr>
              <w:ind w:left="74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(Rujuk Lampiran B )</w:t>
            </w:r>
          </w:p>
          <w:p w:rsidR="00000000" w:rsidDel="00000000" w:rsidP="00000000" w:rsidRDefault="00000000" w:rsidRPr="00000000" w14:paraId="000000C5">
            <w:pPr>
              <w:ind w:left="603" w:hanging="567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630"/>
              </w:tabs>
              <w:spacing w:after="0" w:line="240" w:lineRule="auto"/>
              <w:ind w:left="603" w:hanging="567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7.6      PEMANTAUAN PELAKSANAAN DAN PENGUKURAN OUTPUT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menyatakan mekanisme pemantauan, penyeliaan dan pengauditan pelaksanaan aktiviti yang ditetapkan dalam Pelan Perancangan dan Bajet Pengurusan Aset (Operasi) supaya mencapai output yang ditetapkan.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mengukur dan melapor pencapaian output setiap aktiviti sebagaimana yang ditetapkan dalam TPATA.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ind w:left="74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Kementerian/ jabatan/ agensi hendaklah menyedia dan mengemukakan laporan-laporan tadbir urus pengurusan aset tak alih antara lain:-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6"/>
              </w:numPr>
              <w:spacing w:after="0" w:lineRule="auto"/>
              <w:ind w:left="603" w:right="-323" w:firstLine="142.00000000000003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Laporan Kesediaan Sumber Pengurusan Aset Tak Alih (JKR.PATA-3A);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6"/>
              </w:numPr>
              <w:spacing w:after="0" w:lineRule="auto"/>
              <w:ind w:left="603" w:firstLine="142.00000000000003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Laporan Kemajuan Aktiviti Pengurusan Aset Tak Alih (JKR.PATA-3B);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6"/>
              </w:numPr>
              <w:spacing w:after="0" w:lineRule="auto"/>
              <w:ind w:left="603" w:firstLine="142.00000000000003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Laporan Kedudukan, Kos dan Nilaian Aset Tak Alih (JKR.PATA-3C);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6"/>
              </w:numPr>
              <w:spacing w:after="0" w:lineRule="auto"/>
              <w:ind w:left="1454" w:hanging="70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Laporan Status Penilaian dan Penarafan Aset Tak Alih (JKR.PATA-3D);  dan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6"/>
              </w:numPr>
              <w:spacing w:after="0" w:lineRule="auto"/>
              <w:ind w:left="603" w:right="-182" w:firstLine="142.00000000000003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Laporan Pencapaian Keberkesanan PSPA (Operasi) (JKR.PATA-3E).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left="603" w:hanging="567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TAKWIM TADBIR URUS TPATA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4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memastikan pelaksanaan TPATA mematuhi takwim dalam Lampiran A.</w:t>
            </w:r>
          </w:p>
          <w:p w:rsidR="00000000" w:rsidDel="00000000" w:rsidP="00000000" w:rsidRDefault="00000000" w:rsidRPr="00000000" w14:paraId="000000D2">
            <w:pPr>
              <w:spacing w:after="240" w:lineRule="auto"/>
              <w:ind w:left="603" w:right="84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Agensi hendaklah memantau dan mengukur pencapaian ukuran dan sasaran TPATA.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PENUTUP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Kesimpulan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603" w:right="843" w:hanging="56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LAMPIRAN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ind w:left="603" w:right="84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Sebarang dokumen berkaitan yang menyokong penerangan dalam penyediaan PSPA (Operasi).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78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421"/>
              <w:gridCol w:w="4360"/>
              <w:tblGridChange w:id="0">
                <w:tblGrid>
                  <w:gridCol w:w="4421"/>
                  <w:gridCol w:w="4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8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Disediakan Oleh :</w:t>
                  </w:r>
                </w:p>
                <w:p w:rsidR="00000000" w:rsidDel="00000000" w:rsidP="00000000" w:rsidRDefault="00000000" w:rsidRPr="00000000" w14:paraId="000000D9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A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......................................................</w:t>
                  </w:r>
                </w:p>
                <w:p w:rsidR="00000000" w:rsidDel="00000000" w:rsidP="00000000" w:rsidRDefault="00000000" w:rsidRPr="00000000" w14:paraId="000000DB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(cap nama &amp; jawatan)</w:t>
                  </w:r>
                </w:p>
                <w:p w:rsidR="00000000" w:rsidDel="00000000" w:rsidP="00000000" w:rsidRDefault="00000000" w:rsidRPr="00000000" w14:paraId="000000DC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Tarikh :</w:t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Disemak Oleh :</w:t>
                  </w:r>
                </w:p>
                <w:p w:rsidR="00000000" w:rsidDel="00000000" w:rsidP="00000000" w:rsidRDefault="00000000" w:rsidRPr="00000000" w14:paraId="000000DE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......................................................</w:t>
                  </w:r>
                </w:p>
                <w:p w:rsidR="00000000" w:rsidDel="00000000" w:rsidP="00000000" w:rsidRDefault="00000000" w:rsidRPr="00000000" w14:paraId="000000E0">
                  <w:pPr>
                    <w:ind w:right="558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(PTF Kementerian/ Jabatan/ Agensi)</w:t>
                  </w:r>
                </w:p>
                <w:p w:rsidR="00000000" w:rsidDel="00000000" w:rsidP="00000000" w:rsidRDefault="00000000" w:rsidRPr="00000000" w14:paraId="000000E1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Tarikh 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2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4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Diluluskan Oleh :</w:t>
                  </w:r>
                </w:p>
                <w:p w:rsidR="00000000" w:rsidDel="00000000" w:rsidP="00000000" w:rsidRDefault="00000000" w:rsidRPr="00000000" w14:paraId="000000E5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6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.......................................................</w:t>
                  </w:r>
                </w:p>
                <w:p w:rsidR="00000000" w:rsidDel="00000000" w:rsidP="00000000" w:rsidRDefault="00000000" w:rsidRPr="00000000" w14:paraId="000000E7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(Pegawai Pengawal)</w:t>
                  </w:r>
                </w:p>
                <w:p w:rsidR="00000000" w:rsidDel="00000000" w:rsidP="00000000" w:rsidRDefault="00000000" w:rsidRPr="00000000" w14:paraId="000000E8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Tarikh :</w:t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ind w:right="843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spacing w:after="160" w:lineRule="auto"/>
              <w:ind w:left="720" w:right="84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left"/>
        <w:rPr>
          <w:color w:val="000000"/>
        </w:rPr>
        <w:sectPr>
          <w:type w:val="nextPage"/>
          <w:pgSz w:h="16838" w:w="11906" w:orient="portrait"/>
          <w:pgMar w:bottom="1440" w:top="1440" w:left="1440" w:right="1440" w:header="567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right="843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LAMPIRAN A</w:t>
      </w:r>
    </w:p>
    <w:p w:rsidR="00000000" w:rsidDel="00000000" w:rsidP="00000000" w:rsidRDefault="00000000" w:rsidRPr="00000000" w14:paraId="000000ED">
      <w:pPr>
        <w:spacing w:after="0" w:line="240" w:lineRule="auto"/>
        <w:ind w:right="843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TAKWIM DAN KPI TADBIR URUS AGENSI</w:t>
      </w:r>
    </w:p>
    <w:bookmarkStart w:colFirst="0" w:colLast="0" w:name="bookmark=id.1fob9te" w:id="2"/>
    <w:bookmarkEnd w:id="2"/>
    <w:bookmarkStart w:colFirst="0" w:colLast="0" w:name="bookmark=id.3znysh7" w:id="3"/>
    <w:bookmarkEnd w:id="3"/>
    <w:p w:rsidR="00000000" w:rsidDel="00000000" w:rsidP="00000000" w:rsidRDefault="00000000" w:rsidRPr="00000000" w14:paraId="000000EE">
      <w:pPr>
        <w:spacing w:after="0" w:line="240" w:lineRule="auto"/>
        <w:ind w:right="843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135.0" w:type="dxa"/>
        <w:jc w:val="left"/>
        <w:tblInd w:w="-400.0" w:type="dxa"/>
        <w:tblLayout w:type="fixed"/>
        <w:tblLook w:val="0400"/>
      </w:tblPr>
      <w:tblGrid>
        <w:gridCol w:w="674"/>
        <w:gridCol w:w="6180"/>
        <w:gridCol w:w="710"/>
        <w:gridCol w:w="719"/>
        <w:gridCol w:w="719"/>
        <w:gridCol w:w="729"/>
        <w:gridCol w:w="565"/>
        <w:gridCol w:w="776"/>
        <w:gridCol w:w="719"/>
        <w:gridCol w:w="435"/>
        <w:gridCol w:w="719"/>
        <w:gridCol w:w="718"/>
        <w:gridCol w:w="719"/>
        <w:gridCol w:w="753"/>
        <w:tblGridChange w:id="0">
          <w:tblGrid>
            <w:gridCol w:w="674"/>
            <w:gridCol w:w="6180"/>
            <w:gridCol w:w="710"/>
            <w:gridCol w:w="719"/>
            <w:gridCol w:w="719"/>
            <w:gridCol w:w="729"/>
            <w:gridCol w:w="565"/>
            <w:gridCol w:w="776"/>
            <w:gridCol w:w="719"/>
            <w:gridCol w:w="435"/>
            <w:gridCol w:w="719"/>
            <w:gridCol w:w="718"/>
            <w:gridCol w:w="719"/>
            <w:gridCol w:w="75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PROGRAM/ AKTIVITI</w:t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BULAN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Penyediaan Pelan Perancangan dan Bajet Pengurusan Aset (Operasi)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Permohonan ABM-PATA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2hb*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Pelarasan Peruntukan ABM-PATA yang diluluskan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Penyelarasan Pelan Perancangan dan Bajet Pengurusan Aset (Operasi)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15hb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Penyiapan laporan pelaksanaan setiap fasa, Laporan JKR.PATA-3A, JKR.PATA-3B dan JKR.PATA-3C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Penyiapan Laporan JKR.PATA-3D dan JKR.PATA-3E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Mesyuarat JKPAK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Penyerahan laporan pelaksanaan setiap fasa, Laporan JKR.PATA-3A, JKR.PATA-3B dan JKR.PATA-3C kepada Urus Setia JPAK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Penyerahan  Laporan JKR.PATA-3D dan JKR.PATA-3E kepada Urus Setia JPAK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Audit Dalaman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Analisis Laporan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1hb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Audit Dalaman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Audit Luaran (jika ada)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Maklum balas pengguna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Kajian Semula PSPA (Operasi)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(Tempoh 3 - 5 tahun sekali atau mengikut keperluan)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*Rujuk kepada Takwim Penyediaan Pelan Perancangan Aktiviti PATA dan ABM - PATA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jc w:val="right"/>
        <w:rPr>
          <w:color w:val="000000"/>
          <w:sz w:val="24"/>
          <w:szCs w:val="24"/>
        </w:rPr>
        <w:sectPr>
          <w:type w:val="nextPage"/>
          <w:pgSz w:h="11906" w:w="16838" w:orient="landscape"/>
          <w:pgMar w:bottom="1440" w:top="1140" w:left="1440" w:right="1140" w:header="431" w:footer="28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Rule="auto"/>
        <w:jc w:val="right"/>
        <w:rPr>
          <w:b w:val="1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LAMPIRAN B</w:t>
      </w:r>
    </w:p>
    <w:p w:rsidR="00000000" w:rsidDel="00000000" w:rsidP="00000000" w:rsidRDefault="00000000" w:rsidRPr="00000000" w14:paraId="000001EB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ANALISIS KOS AKTIVITI KEPERLUAN PEJABAT UNIT PENGURUSAN FASILITI (UPF)</w:t>
      </w:r>
    </w:p>
    <w:p w:rsidR="00000000" w:rsidDel="00000000" w:rsidP="00000000" w:rsidRDefault="00000000" w:rsidRPr="00000000" w14:paraId="000001EC">
      <w:pPr>
        <w:spacing w:after="0" w:line="276" w:lineRule="auto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47.0" w:type="dxa"/>
        <w:jc w:val="left"/>
        <w:tblInd w:w="411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18"/>
        <w:gridCol w:w="290"/>
        <w:gridCol w:w="3990"/>
        <w:gridCol w:w="4149"/>
        <w:tblGridChange w:id="0">
          <w:tblGrid>
            <w:gridCol w:w="1718"/>
            <w:gridCol w:w="290"/>
            <w:gridCol w:w="3990"/>
            <w:gridCol w:w="41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</w:t>
            </w:r>
          </w:p>
        </w:tc>
      </w:tr>
    </w:tbl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758.0" w:type="dxa"/>
        <w:jc w:val="left"/>
        <w:tblLayout w:type="fixed"/>
        <w:tblLook w:val="0400"/>
      </w:tblPr>
      <w:tblGrid>
        <w:gridCol w:w="1345"/>
        <w:gridCol w:w="4511"/>
        <w:gridCol w:w="1044"/>
        <w:gridCol w:w="1281"/>
        <w:gridCol w:w="924"/>
        <w:gridCol w:w="1380"/>
        <w:gridCol w:w="2273"/>
        <w:tblGridChange w:id="0">
          <w:tblGrid>
            <w:gridCol w:w="1345"/>
            <w:gridCol w:w="4511"/>
            <w:gridCol w:w="1044"/>
            <w:gridCol w:w="1281"/>
            <w:gridCol w:w="924"/>
            <w:gridCol w:w="1380"/>
            <w:gridCol w:w="2273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Kementerian / Jabatan / Agensi   </w:t>
              <w:tab/>
              <w:t xml:space="preserve">             :  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KEPERLUAN PEJABAT UNIT PENGURUSAN FASILITI (UPF)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KUANTITI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KOS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JUMLAH KOS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CATATAN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60" w:before="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PENGURUSAN PEJABAT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Pematuhan ruang/ staf mengikut EPU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Perabot asas setiap staf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Mesin Fotostat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 dan alat komunikasi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60" w:before="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PERALATAN KERJA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Komputer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Alat pemeriksaan dan pengujian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60" w:before="6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Kenderaan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JUMLAH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after="16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ind w:left="54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ind w:left="540" w:firstLine="0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ind w:left="54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ind w:left="709" w:firstLine="0"/>
        <w:rPr>
          <w:i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ind w:left="540" w:firstLine="169.00000000000006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Nota : </w:t>
      </w:r>
    </w:p>
    <w:p w:rsidR="00000000" w:rsidDel="00000000" w:rsidP="00000000" w:rsidRDefault="00000000" w:rsidRPr="00000000" w14:paraId="00000261">
      <w:pPr>
        <w:numPr>
          <w:ilvl w:val="0"/>
          <w:numId w:val="4"/>
        </w:numPr>
        <w:tabs>
          <w:tab w:val="left" w:leader="none" w:pos="2268"/>
          <w:tab w:val="left" w:leader="none" w:pos="2591"/>
        </w:tabs>
        <w:spacing w:after="0" w:line="240" w:lineRule="auto"/>
        <w:ind w:left="1418" w:right="843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Senaraikan keperluan alatan secara terperinci sekiranya spesifikasi setiap alatan adalah berlainan (Contoh:- Komputer riba /  Komputer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desktop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atau lain-lain)</w:t>
        <w:tab/>
      </w:r>
    </w:p>
    <w:p w:rsidR="00000000" w:rsidDel="00000000" w:rsidP="00000000" w:rsidRDefault="00000000" w:rsidRPr="00000000" w14:paraId="00000262">
      <w:pPr>
        <w:numPr>
          <w:ilvl w:val="0"/>
          <w:numId w:val="4"/>
        </w:numPr>
        <w:tabs>
          <w:tab w:val="left" w:leader="none" w:pos="2268"/>
          <w:tab w:val="left" w:leader="none" w:pos="2591"/>
        </w:tabs>
        <w:spacing w:after="0" w:line="240" w:lineRule="auto"/>
        <w:ind w:left="1418" w:right="843" w:hanging="360"/>
        <w:rPr>
          <w:color w:val="000000"/>
        </w:rPr>
        <w:sectPr>
          <w:type w:val="nextPage"/>
          <w:pgSz w:h="11906" w:w="16838" w:orient="landscape"/>
          <w:pgMar w:bottom="0" w:top="709" w:left="1440" w:right="1140" w:header="431" w:footer="289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Maklumat jumlah kos keseluruhan dibawa ke borang JKR.PATA-3A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tabs>
          <w:tab w:val="left" w:leader="none" w:pos="3834"/>
        </w:tabs>
        <w:rPr/>
      </w:pPr>
      <w:r w:rsidDel="00000000" w:rsidR="00000000" w:rsidRPr="00000000">
        <w:rPr>
          <w:rtl w:val="0"/>
        </w:rPr>
      </w:r>
    </w:p>
    <w:sectPr>
      <w:headerReference r:id="rId8" w:type="first"/>
      <w:type w:val="nextPage"/>
      <w:pgSz w:h="16838" w:w="11906" w:orient="portrait"/>
      <w:pgMar w:bottom="1440" w:top="1440" w:left="1440" w:right="1440" w:header="567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Roman"/>
      <w:lvlText w:val="(%1)"/>
      <w:lvlJc w:val="left"/>
      <w:pPr>
        <w:ind w:left="1620" w:hanging="360"/>
      </w:pPr>
      <w:rPr/>
    </w:lvl>
    <w:lvl w:ilvl="1">
      <w:start w:val="1"/>
      <w:numFmt w:val="lowerLetter"/>
      <w:lvlText w:val="%2."/>
      <w:lvlJc w:val="left"/>
      <w:pPr>
        <w:ind w:left="2340" w:hanging="360"/>
      </w:pPr>
      <w:rPr/>
    </w:lvl>
    <w:lvl w:ilvl="2">
      <w:start w:val="1"/>
      <w:numFmt w:val="lowerRoman"/>
      <w:lvlText w:val="%3."/>
      <w:lvlJc w:val="right"/>
      <w:pPr>
        <w:ind w:left="3060" w:hanging="180"/>
      </w:pPr>
      <w:rPr/>
    </w:lvl>
    <w:lvl w:ilvl="3">
      <w:start w:val="1"/>
      <w:numFmt w:val="decimal"/>
      <w:lvlText w:val="%4."/>
      <w:lvlJc w:val="left"/>
      <w:pPr>
        <w:ind w:left="3780" w:hanging="360"/>
      </w:pPr>
      <w:rPr/>
    </w:lvl>
    <w:lvl w:ilvl="4">
      <w:start w:val="1"/>
      <w:numFmt w:val="lowerLetter"/>
      <w:lvlText w:val="%5."/>
      <w:lvlJc w:val="left"/>
      <w:pPr>
        <w:ind w:left="4500" w:hanging="360"/>
      </w:pPr>
      <w:rPr/>
    </w:lvl>
    <w:lvl w:ilvl="5">
      <w:start w:val="1"/>
      <w:numFmt w:val="lowerRoman"/>
      <w:lvlText w:val="%6."/>
      <w:lvlJc w:val="right"/>
      <w:pPr>
        <w:ind w:left="5220" w:hanging="180"/>
      </w:pPr>
      <w:rPr/>
    </w:lvl>
    <w:lvl w:ilvl="6">
      <w:start w:val="1"/>
      <w:numFmt w:val="decimal"/>
      <w:lvlText w:val="%7."/>
      <w:lvlJc w:val="left"/>
      <w:pPr>
        <w:ind w:left="5940" w:hanging="360"/>
      </w:pPr>
      <w:rPr/>
    </w:lvl>
    <w:lvl w:ilvl="7">
      <w:start w:val="1"/>
      <w:numFmt w:val="lowerLetter"/>
      <w:lvlText w:val="%8."/>
      <w:lvlJc w:val="left"/>
      <w:pPr>
        <w:ind w:left="6660" w:hanging="360"/>
      </w:pPr>
      <w:rPr/>
    </w:lvl>
    <w:lvl w:ilvl="8">
      <w:start w:val="1"/>
      <w:numFmt w:val="lowerRoman"/>
      <w:lvlText w:val="%9."/>
      <w:lvlJc w:val="right"/>
      <w:pPr>
        <w:ind w:left="73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ms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Jzgt7zxbxVPHYM/A/vwKeMr4g==">CgMxLjAyCGguZ2pkZ3hzMgloLjMwajB6bGwyCmlkLjFmb2I5dGUyCmlkLjN6bnlzaDcyCWguMmV0OTJwMDgAciExUTRkMlFIZE5kWDVUS0pQRlVCcHRjX0VkZTZOczlUSzQ=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2023-05-26T03:14:00Z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b90c4fb50e5f0d5f42850479903d0c774eb96bd3a1abcb418b02227d3c4f43f7</vt:lpwstr>
  </property>
</Properties>
</file>